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2E7B46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4277EF3B" w:rsidR="004174E2" w:rsidRDefault="002E7B46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</w:t>
      </w:r>
      <w:r w:rsidR="00A2209B">
        <w:rPr>
          <w:rFonts w:ascii="Marianne" w:hAnsi="Marianne" w:cs="Arial"/>
          <w:b/>
          <w:sz w:val="20"/>
          <w:szCs w:val="20"/>
        </w:rPr>
        <w:t>5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 xml:space="preserve">: </w:t>
      </w:r>
      <w:r w:rsidR="00A2209B" w:rsidRPr="00A2209B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 estampillés constructeurs RENAULT TRUCKS et toutes autres marques rattachées à la marque RENAULT TRUCKS</w:t>
      </w:r>
    </w:p>
    <w:p w14:paraId="199DB1F4" w14:textId="51C091B7" w:rsidR="00B857C9" w:rsidRPr="002E7B46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38A98976" w:rsidR="00F068A1" w:rsidRPr="002E7B46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2E7B46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590409D4" w14:textId="77777777" w:rsidR="0019675D" w:rsidRDefault="0019675D" w:rsidP="0019675D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572B6C">
        <w:rPr>
          <w:rFonts w:ascii="Arial" w:hAnsi="Arial" w:cs="Arial"/>
          <w:b/>
          <w:sz w:val="20"/>
          <w:szCs w:val="20"/>
        </w:rPr>
        <w:t xml:space="preserve">Nombre d’heures prévues au contrat : </w:t>
      </w:r>
      <w:r>
        <w:rPr>
          <w:rFonts w:ascii="Arial" w:hAnsi="Arial" w:cs="Arial"/>
          <w:b/>
          <w:color w:val="auto"/>
          <w:sz w:val="20"/>
          <w:szCs w:val="20"/>
        </w:rPr>
        <w:t>150</w:t>
      </w:r>
      <w:r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Pr="00572B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par période d’exécution</w:t>
      </w:r>
      <w:r w:rsidRPr="00572B6C">
        <w:rPr>
          <w:rFonts w:ascii="Arial" w:hAnsi="Arial" w:cs="Arial"/>
          <w:sz w:val="20"/>
          <w:szCs w:val="20"/>
        </w:rPr>
        <w:t xml:space="preserve"> </w:t>
      </w:r>
      <w:r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Pr="00572B6C">
        <w:rPr>
          <w:rFonts w:ascii="Arial" w:hAnsi="Arial" w:cs="Arial"/>
          <w:b/>
          <w:color w:val="auto"/>
          <w:sz w:val="20"/>
          <w:szCs w:val="20"/>
        </w:rPr>
        <w:t>du CCP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bookmarkEnd w:id="0"/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19675D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622ACD6C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E7B46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19675D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9675D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2E7B46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6F59"/>
    <w:rsid w:val="009E4CE9"/>
    <w:rsid w:val="009E69DF"/>
    <w:rsid w:val="009F5AF7"/>
    <w:rsid w:val="00A01E9A"/>
    <w:rsid w:val="00A2004E"/>
    <w:rsid w:val="00A2209B"/>
    <w:rsid w:val="00A41A6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777C-1648-444F-A5C2-BCDFD3C3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12</cp:revision>
  <cp:lastPrinted>2020-05-22T11:09:00Z</cp:lastPrinted>
  <dcterms:created xsi:type="dcterms:W3CDTF">2024-07-03T12:40:00Z</dcterms:created>
  <dcterms:modified xsi:type="dcterms:W3CDTF">2025-08-11T15:05:00Z</dcterms:modified>
</cp:coreProperties>
</file>